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9242" w:type="dxa"/>
        <w:jc w:val="left"/>
        <w:tblInd w:w="0" w:type="dxa"/>
        <w:tblLayout w:type="fixed"/>
        <w:tblCellMar>
          <w:top w:w="0" w:type="dxa"/>
          <w:left w:w="108" w:type="dxa"/>
          <w:bottom w:w="0" w:type="dxa"/>
          <w:right w:w="108" w:type="dxa"/>
        </w:tblCellMar>
        <w:tblLook w:val="01e0"/>
      </w:tblPr>
      <w:tblGrid>
        <w:gridCol w:w="9242"/>
      </w:tblGrid>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rPr>
                <w:b/>
                <w:b/>
                <w:sz w:val="22"/>
                <w:szCs w:val="22"/>
                <w:lang w:val="sr-CS"/>
              </w:rPr>
            </w:pPr>
            <w:r>
              <w:rPr>
                <w:b/>
                <w:sz w:val="22"/>
                <w:szCs w:val="22"/>
              </w:rPr>
              <w:t>Стандард 3. Циљеви студијског програма</w:t>
            </w:r>
          </w:p>
          <w:p>
            <w:pPr>
              <w:pStyle w:val="Normal"/>
              <w:widowControl w:val="false"/>
              <w:rPr>
                <w:sz w:val="22"/>
                <w:szCs w:val="22"/>
                <w:lang w:val="sr-CS"/>
              </w:rPr>
            </w:pPr>
            <w:r>
              <w:rPr>
                <w:sz w:val="22"/>
                <w:szCs w:val="22"/>
              </w:rPr>
              <w:t>Студијски програм има јасно дефинисане циљеве</w:t>
            </w:r>
            <w:r>
              <w:rPr>
                <w:sz w:val="22"/>
                <w:szCs w:val="22"/>
                <w:lang w:val="sr-CS"/>
              </w:rPr>
              <w:t>.</w:t>
            </w:r>
            <w:r>
              <w:rPr>
                <w:sz w:val="22"/>
                <w:szCs w:val="22"/>
              </w:rPr>
              <w:t xml:space="preserve"> </w:t>
            </w:r>
          </w:p>
        </w:tc>
      </w:tr>
      <w:tr>
        <w:trPr/>
        <w:tc>
          <w:tcPr>
            <w:tcW w:w="9242" w:type="dxa"/>
            <w:tcBorders>
              <w:top w:val="single" w:sz="12" w:space="0" w:color="000000"/>
              <w:left w:val="single" w:sz="12" w:space="0" w:color="000000"/>
              <w:bottom w:val="single" w:sz="12" w:space="0" w:color="000000"/>
              <w:right w:val="single" w:sz="12" w:space="0" w:color="000000"/>
            </w:tcBorders>
          </w:tcPr>
          <w:p>
            <w:pPr>
              <w:pStyle w:val="Normal"/>
              <w:widowControl w:val="false"/>
              <w:rPr>
                <w:sz w:val="22"/>
                <w:szCs w:val="22"/>
              </w:rPr>
            </w:pPr>
            <w:r>
              <w:rPr>
                <w:sz w:val="22"/>
                <w:szCs w:val="22"/>
              </w:rPr>
              <w:t>The goal of the programme is to train students so that they</w:t>
            </w:r>
          </w:p>
          <w:p>
            <w:pPr>
              <w:pStyle w:val="Normal"/>
              <w:widowControl w:val="false"/>
              <w:numPr>
                <w:ilvl w:val="0"/>
                <w:numId w:val="1"/>
              </w:numPr>
              <w:rPr>
                <w:sz w:val="22"/>
                <w:szCs w:val="22"/>
              </w:rPr>
            </w:pPr>
            <w:r>
              <w:rPr>
                <w:sz w:val="22"/>
                <w:szCs w:val="22"/>
              </w:rPr>
              <w:t xml:space="preserve">are able to do policy analysis of the topics within the area of Southeastern Europe by taking into consideration different disciplinary perspectives, </w:t>
            </w:r>
          </w:p>
          <w:p>
            <w:pPr>
              <w:pStyle w:val="Normal"/>
              <w:widowControl w:val="false"/>
              <w:numPr>
                <w:ilvl w:val="0"/>
                <w:numId w:val="1"/>
              </w:numPr>
              <w:rPr>
                <w:sz w:val="22"/>
                <w:szCs w:val="22"/>
              </w:rPr>
            </w:pPr>
            <w:r>
              <w:rPr>
                <w:sz w:val="22"/>
                <w:szCs w:val="22"/>
              </w:rPr>
              <w:t>understand the complexity, interaction and dynamics between legal, political, economic and cultural systems in regard to Southeastern Europe,</w:t>
            </w:r>
          </w:p>
          <w:p>
            <w:pPr>
              <w:pStyle w:val="Normal"/>
              <w:widowControl w:val="false"/>
              <w:numPr>
                <w:ilvl w:val="0"/>
                <w:numId w:val="1"/>
              </w:numPr>
              <w:rPr>
                <w:sz w:val="22"/>
                <w:szCs w:val="22"/>
              </w:rPr>
            </w:pPr>
            <w:r>
              <w:rPr>
                <w:sz w:val="22"/>
                <w:szCs w:val="22"/>
              </w:rPr>
              <w:t xml:space="preserve">know and are able to use adequate working methods and instruments for scientific research and application, </w:t>
            </w:r>
          </w:p>
          <w:p>
            <w:pPr>
              <w:pStyle w:val="Normal"/>
              <w:widowControl w:val="false"/>
              <w:numPr>
                <w:ilvl w:val="0"/>
                <w:numId w:val="1"/>
              </w:numPr>
              <w:rPr>
                <w:sz w:val="22"/>
                <w:szCs w:val="22"/>
              </w:rPr>
            </w:pPr>
            <w:r>
              <w:rPr>
                <w:sz w:val="22"/>
                <w:szCs w:val="22"/>
              </w:rPr>
              <w:t>are able to apply their knowledge and scientific skills in inter- and transdisciplinary teams on complex issues, possess the relevant soft skills, such as writing, debating, conflict management, teamwork, gender sensitivity, project management.</w:t>
            </w:r>
          </w:p>
          <w:p>
            <w:pPr>
              <w:pStyle w:val="Normal"/>
              <w:widowControl w:val="false"/>
              <w:rPr>
                <w:sz w:val="22"/>
                <w:szCs w:val="22"/>
              </w:rPr>
            </w:pPr>
            <w:r>
              <w:rPr>
                <w:sz w:val="22"/>
                <w:szCs w:val="22"/>
              </w:rPr>
            </w:r>
          </w:p>
          <w:p>
            <w:pPr>
              <w:pStyle w:val="Normal"/>
              <w:widowControl w:val="false"/>
              <w:rPr>
                <w:sz w:val="22"/>
                <w:szCs w:val="22"/>
              </w:rPr>
            </w:pPr>
            <w:r>
              <w:rPr>
                <w:sz w:val="22"/>
                <w:szCs w:val="22"/>
              </w:rPr>
              <w:t>The programme offers integration of these two kinds of knowledge (research and applied). Depending on the chosen specialization, students are given the opportunity to develop a unique set of skills adjusted to the specific issues in the region. The combination of academic researcher and pubic policy analyst facilitates employment in public and private (</w:t>
            </w:r>
            <w:r>
              <w:rPr>
                <w:sz w:val="22"/>
                <w:szCs w:val="22"/>
              </w:rPr>
              <w:t xml:space="preserve">both </w:t>
            </w:r>
            <w:r>
              <w:rPr>
                <w:sz w:val="22"/>
                <w:szCs w:val="22"/>
              </w:rPr>
              <w:t xml:space="preserve">profit and non-profit sector). </w:t>
            </w:r>
          </w:p>
          <w:p>
            <w:pPr>
              <w:pStyle w:val="Normal"/>
              <w:widowControl w:val="false"/>
              <w:rPr>
                <w:sz w:val="22"/>
                <w:szCs w:val="22"/>
              </w:rPr>
            </w:pPr>
            <w:r>
              <w:rPr>
                <w:sz w:val="22"/>
                <w:szCs w:val="22"/>
              </w:rPr>
            </w:r>
          </w:p>
          <w:p>
            <w:pPr>
              <w:pStyle w:val="Normal"/>
              <w:widowControl w:val="false"/>
              <w:rPr>
                <w:sz w:val="22"/>
                <w:szCs w:val="22"/>
              </w:rPr>
            </w:pPr>
            <w:r>
              <w:rPr>
                <w:sz w:val="22"/>
                <w:szCs w:val="22"/>
              </w:rPr>
              <w:t>The goals are in accordance with main tasks and goals of the home higher educational institution. The goals are also harmonized with requests of the field and market labour, economic development and defined qualifications framework which is an integral part of the European integration processes (Chapter 26 – education and culture).</w:t>
            </w:r>
          </w:p>
          <w:p>
            <w:pPr>
              <w:pStyle w:val="Normal"/>
              <w:widowControl w:val="false"/>
              <w:rPr>
                <w:sz w:val="22"/>
                <w:szCs w:val="22"/>
              </w:rPr>
            </w:pPr>
            <w:r>
              <w:rPr>
                <w:sz w:val="22"/>
                <w:szCs w:val="22"/>
              </w:rPr>
            </w:r>
          </w:p>
          <w:p>
            <w:pPr>
              <w:pStyle w:val="Normal"/>
              <w:widowControl w:val="false"/>
              <w:rPr>
                <w:b/>
                <w:b/>
                <w:sz w:val="22"/>
                <w:szCs w:val="22"/>
              </w:rPr>
            </w:pPr>
            <w:r>
              <w:rPr>
                <w:b/>
                <w:sz w:val="22"/>
                <w:szCs w:val="22"/>
              </w:rPr>
            </w:r>
          </w:p>
          <w:p>
            <w:pPr>
              <w:pStyle w:val="Normal"/>
              <w:widowControl w:val="false"/>
              <w:jc w:val="both"/>
              <w:rPr>
                <w:sz w:val="22"/>
                <w:szCs w:val="22"/>
                <w:lang w:val="sr-CS"/>
              </w:rPr>
            </w:pPr>
            <w:r>
              <w:rPr>
                <w:sz w:val="22"/>
                <w:szCs w:val="22"/>
                <w:lang w:val="sr-CS"/>
              </w:rPr>
            </w:r>
          </w:p>
        </w:tc>
      </w:tr>
      <w:tr>
        <w:trPr/>
        <w:tc>
          <w:tcPr>
            <w:tcW w:w="9242" w:type="dxa"/>
            <w:tcBorders>
              <w:top w:val="single" w:sz="12" w:space="0" w:color="000000"/>
              <w:left w:val="single" w:sz="12" w:space="0" w:color="000000"/>
              <w:bottom w:val="single" w:sz="12" w:space="0" w:color="000000"/>
              <w:right w:val="single" w:sz="12" w:space="0" w:color="000000"/>
            </w:tcBorders>
            <w:shd w:color="auto" w:fill="F2F2F2" w:val="clear"/>
          </w:tcPr>
          <w:p>
            <w:pPr>
              <w:pStyle w:val="Normal"/>
              <w:widowControl w:val="false"/>
              <w:pBdr>
                <w:bottom w:val="single" w:sz="6" w:space="1" w:color="000000"/>
              </w:pBdr>
              <w:rPr>
                <w:sz w:val="22"/>
                <w:szCs w:val="22"/>
                <w:lang w:val="sr-CS"/>
              </w:rPr>
            </w:pPr>
            <w:r>
              <w:rPr>
                <w:b/>
                <w:sz w:val="22"/>
                <w:szCs w:val="22"/>
                <w:lang w:val="sr-CS"/>
              </w:rPr>
              <w:t>Прилози за стандард 3:</w:t>
            </w:r>
            <w:r>
              <w:rPr>
                <w:sz w:val="22"/>
                <w:szCs w:val="22"/>
                <w:lang w:val="sr-CS"/>
              </w:rPr>
              <w:t xml:space="preserve"> </w:t>
            </w:r>
          </w:p>
          <w:p>
            <w:pPr>
              <w:pStyle w:val="Normal"/>
              <w:widowControl w:val="false"/>
              <w:rPr>
                <w:b/>
                <w:b/>
                <w:sz w:val="22"/>
                <w:szCs w:val="22"/>
              </w:rPr>
            </w:pPr>
            <w:r>
              <w:rPr>
                <w:b/>
                <w:sz w:val="22"/>
                <w:szCs w:val="22"/>
                <w:lang w:val="sr-CS"/>
              </w:rPr>
              <w:t xml:space="preserve">Прилог 1.1. </w:t>
            </w:r>
            <w:r>
              <w:rPr>
                <w:sz w:val="22"/>
                <w:szCs w:val="22"/>
                <w:lang w:val="sr-CS"/>
              </w:rPr>
              <w:t xml:space="preserve">Публикација установе (у штампаном или електронском облику, сајт институције). </w:t>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 w:name="Symbol">
    <w:charset w:val="02"/>
    <w:family w:val="auto"/>
    <w:pitch w:val="variable"/>
  </w:font>
  <w:font w:name="Courier New">
    <w:charset w:val="01"/>
    <w:family w:val="auto"/>
    <w:pitch w:val="variable"/>
  </w:font>
  <w:font w:name="Times New Roman">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720"/>
  <w:autoHyphenation w:val="true"/>
  <w:compat>
    <w:compatSetting w:name="compatibilityMode" w:uri="http://schemas.microsoft.com/office/word" w:val="12"/>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2f2e74"/>
    <w:pPr>
      <w:widowControl w:val="false"/>
      <w:bidi w:val="0"/>
      <w:spacing w:before="0" w:after="0"/>
      <w:jc w:val="left"/>
    </w:pPr>
    <w:rPr>
      <w:rFonts w:ascii="Times New Roman" w:hAnsi="Times New Roman" w:eastAsia="Times New Roman" w:cs="Times New Roman"/>
      <w:color w:val="auto"/>
      <w:kern w:val="0"/>
      <w:sz w:val="20"/>
      <w:szCs w:val="20"/>
      <w:lang w:val="en-GB" w:eastAsia="sr-Latn-C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Application>LibreOffice/7.1.3.2$MacOSX_X86_64 LibreOffice_project/47f78053abe362b9384784d31a6e56f8511eb1c1</Application>
  <AppVersion>15.0000</AppVersion>
  <Pages>1</Pages>
  <Words>239</Words>
  <Characters>1396</Characters>
  <CharactersWithSpaces>1627</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2021-06-14T10:49:00Z</dcterms:created>
  <dc:creator>Dušan Pavlović</dc:creator>
  <dc:description/>
  <dc:language>en-US</dc:language>
  <cp:lastModifiedBy/>
  <dcterms:modified xsi:type="dcterms:W3CDTF">2021-06-15T11:30:19Z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